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10265C14"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w:t>
      </w:r>
      <w:r w:rsidR="0082362D">
        <w:rPr>
          <w:rFonts w:ascii="Arial" w:hAnsi="Arial" w:cs="Arial"/>
          <w:b/>
          <w:noProof/>
          <w:sz w:val="24"/>
        </w:rPr>
        <w:t>9</w:t>
      </w:r>
      <w:r w:rsidR="00E5108D">
        <w:rPr>
          <w:rFonts w:ascii="Arial" w:hAnsi="Arial" w:cs="Arial"/>
          <w:b/>
          <w:noProof/>
          <w:sz w:val="24"/>
        </w:rPr>
        <w:t>2</w:t>
      </w:r>
      <w:r w:rsidR="005F0AD1">
        <w:rPr>
          <w:rFonts w:ascii="Arial" w:hAnsi="Arial" w:cs="Arial"/>
          <w:b/>
          <w:noProof/>
          <w:sz w:val="24"/>
        </w:rPr>
        <w:t>-bis</w:t>
      </w:r>
      <w:r w:rsidRPr="00391B41">
        <w:rPr>
          <w:rFonts w:ascii="Arial" w:hAnsi="Arial" w:cs="Arial"/>
          <w:b/>
          <w:noProof/>
          <w:sz w:val="24"/>
          <w:szCs w:val="24"/>
          <w:lang w:val="en-US"/>
        </w:rPr>
        <w:tab/>
      </w:r>
      <w:r w:rsidR="00905F28" w:rsidRPr="00905F28">
        <w:rPr>
          <w:rFonts w:ascii="Arial" w:hAnsi="Arial" w:cs="Arial"/>
          <w:b/>
          <w:noProof/>
          <w:sz w:val="24"/>
          <w:szCs w:val="24"/>
          <w:lang w:val="en-US"/>
        </w:rPr>
        <w:t>R4-1912458</w:t>
      </w:r>
    </w:p>
    <w:p w14:paraId="4AF193F7" w14:textId="5061B77A" w:rsidR="00E5108D" w:rsidRDefault="005F0AD1" w:rsidP="00DB3907">
      <w:pPr>
        <w:tabs>
          <w:tab w:val="left" w:pos="1985"/>
        </w:tabs>
        <w:rPr>
          <w:rFonts w:ascii="Arial" w:hAnsi="Arial"/>
          <w:b/>
          <w:sz w:val="24"/>
          <w:lang w:val="en-US"/>
        </w:rPr>
      </w:pPr>
      <w:r w:rsidRPr="005F0AD1">
        <w:rPr>
          <w:rFonts w:ascii="Arial" w:hAnsi="Arial"/>
          <w:b/>
          <w:bCs/>
          <w:noProof/>
          <w:szCs w:val="16"/>
          <w:lang w:val="en-US"/>
        </w:rPr>
        <w:t>Chongqing , CN</w:t>
      </w:r>
    </w:p>
    <w:p w14:paraId="7270CE4D" w14:textId="5ECC7691"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5B0F37">
        <w:rPr>
          <w:rFonts w:ascii="Arial" w:hAnsi="Arial"/>
          <w:sz w:val="24"/>
          <w:lang w:val="en-US"/>
        </w:rPr>
        <w:t>, Nokia, Ericsson</w:t>
      </w:r>
      <w:r w:rsidR="00905F28">
        <w:rPr>
          <w:rFonts w:ascii="Arial" w:hAnsi="Arial"/>
          <w:sz w:val="24"/>
          <w:lang w:val="en-US"/>
        </w:rPr>
        <w:t xml:space="preserve">, </w:t>
      </w:r>
      <w:r w:rsidR="00905F28" w:rsidRPr="00905F28">
        <w:rPr>
          <w:rFonts w:ascii="Arial" w:hAnsi="Arial"/>
          <w:sz w:val="24"/>
          <w:lang w:val="en-US"/>
        </w:rPr>
        <w:t>Nokia Shanghai Bell</w:t>
      </w:r>
      <w:bookmarkStart w:id="0" w:name="_GoBack"/>
      <w:bookmarkEnd w:id="0"/>
    </w:p>
    <w:p w14:paraId="6CA743B3" w14:textId="3D109A6D"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9021C">
        <w:rPr>
          <w:rFonts w:ascii="Arial" w:hAnsi="Arial"/>
          <w:sz w:val="24"/>
          <w:lang w:val="en-US"/>
        </w:rPr>
        <w:t>Location of transient period when a UE declares it’s capability</w:t>
      </w:r>
    </w:p>
    <w:p w14:paraId="67DD213C" w14:textId="4E338A6F"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BE70B7">
        <w:rPr>
          <w:rFonts w:ascii="Arial" w:hAnsi="Arial"/>
          <w:sz w:val="24"/>
          <w:lang w:val="en-US"/>
        </w:rPr>
        <w:t>6.5.4.4</w:t>
      </w:r>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4ABD8617" w14:textId="18D221C5" w:rsidR="00EE2CF3" w:rsidRDefault="002D29BB" w:rsidP="00F22934">
      <w:pPr>
        <w:rPr>
          <w:lang w:val="en-US"/>
        </w:rPr>
      </w:pPr>
      <w:r>
        <w:rPr>
          <w:lang w:val="en-US"/>
        </w:rPr>
        <w:t xml:space="preserve">In [1], the WF lists the concerns from different companies related to transient period capability. </w:t>
      </w:r>
      <w:r w:rsidR="00065544">
        <w:rPr>
          <w:lang w:val="en-US"/>
        </w:rPr>
        <w:t xml:space="preserve">One of the concerns were to show the location of the transient period when a UE declares a capability shorter than the allowed transient period. </w:t>
      </w:r>
    </w:p>
    <w:p w14:paraId="2E959A0E" w14:textId="72A32B6D" w:rsidR="004F1322" w:rsidRPr="00F22934" w:rsidRDefault="00065544" w:rsidP="00F22934">
      <w:pPr>
        <w:rPr>
          <w:lang w:val="en-US"/>
        </w:rPr>
      </w:pPr>
      <w:r>
        <w:rPr>
          <w:lang w:val="en-US"/>
        </w:rPr>
        <w:t xml:space="preserve">In this paper we address the same. </w:t>
      </w:r>
      <w:r w:rsidR="00101F28">
        <w:rPr>
          <w:lang w:val="en-US"/>
        </w:rPr>
        <w:t xml:space="preserve"> </w:t>
      </w:r>
    </w:p>
    <w:p w14:paraId="3CA8E1CA" w14:textId="63CE032F" w:rsidR="00C15C1A" w:rsidRDefault="006866E3" w:rsidP="00A67A30">
      <w:pPr>
        <w:pStyle w:val="Heading1"/>
        <w:rPr>
          <w:lang w:val="en-US"/>
        </w:rPr>
      </w:pPr>
      <w:r w:rsidRPr="00C15C1A">
        <w:rPr>
          <w:lang w:val="en-US"/>
        </w:rPr>
        <w:t>Discussion</w:t>
      </w:r>
    </w:p>
    <w:p w14:paraId="715D1250" w14:textId="6AB39416" w:rsidR="00EE2CF3" w:rsidRDefault="00065544" w:rsidP="00EE2CF3">
      <w:pPr>
        <w:rPr>
          <w:lang w:val="en-US"/>
        </w:rPr>
      </w:pPr>
      <w:r>
        <w:rPr>
          <w:lang w:val="en-US"/>
        </w:rPr>
        <w:t xml:space="preserve">In the current standard [2], there are three types of transient periods: </w:t>
      </w:r>
    </w:p>
    <w:p w14:paraId="06450B1A" w14:textId="5D7B64DE" w:rsidR="00065544" w:rsidRDefault="00065544" w:rsidP="00065544">
      <w:pPr>
        <w:pStyle w:val="ListParagraph"/>
        <w:numPr>
          <w:ilvl w:val="0"/>
          <w:numId w:val="24"/>
        </w:numPr>
        <w:rPr>
          <w:lang w:val="en-US"/>
        </w:rPr>
      </w:pPr>
      <w:r>
        <w:rPr>
          <w:lang w:val="en-US"/>
        </w:rPr>
        <w:t>Transient period is symmetrically shared across the slot boundary between two symbols:</w:t>
      </w:r>
    </w:p>
    <w:p w14:paraId="56D3B636" w14:textId="74122A28" w:rsidR="00065544" w:rsidRDefault="00065544" w:rsidP="00065544">
      <w:pPr>
        <w:ind w:left="360"/>
        <w:rPr>
          <w:lang w:val="en-US"/>
        </w:rPr>
      </w:pPr>
    </w:p>
    <w:p w14:paraId="77E82EBF" w14:textId="044DBB06" w:rsidR="00065544" w:rsidRDefault="00065544" w:rsidP="00065544">
      <w:pPr>
        <w:ind w:left="360"/>
        <w:rPr>
          <w:lang w:val="en-US"/>
        </w:rPr>
      </w:pPr>
      <w:r w:rsidRPr="00065544">
        <w:rPr>
          <w:noProof/>
        </w:rPr>
        <w:drawing>
          <wp:inline distT="0" distB="0" distL="0" distR="0" wp14:anchorId="3AC06658" wp14:editId="02231869">
            <wp:extent cx="4325645" cy="1312970"/>
            <wp:effectExtent l="0" t="0" r="0" b="0"/>
            <wp:docPr id="8" name="Picture 7">
              <a:extLst xmlns:a="http://schemas.openxmlformats.org/drawingml/2006/main">
                <a:ext uri="{FF2B5EF4-FFF2-40B4-BE49-F238E27FC236}">
                  <a16:creationId xmlns:a16="http://schemas.microsoft.com/office/drawing/2014/main" id="{31EFCA01-C381-4928-A3A0-436BB9E39CA6}"/>
                </a:ext>
              </a:extLst>
            </wp:docPr>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31EFCA01-C381-4928-A3A0-436BB9E39CA6}"/>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5645" cy="1312970"/>
                    </a:xfrm>
                    <a:prstGeom prst="rect">
                      <a:avLst/>
                    </a:prstGeom>
                    <a:noFill/>
                  </pic:spPr>
                </pic:pic>
              </a:graphicData>
            </a:graphic>
          </wp:inline>
        </w:drawing>
      </w:r>
    </w:p>
    <w:p w14:paraId="350C8FED" w14:textId="61D9758F" w:rsidR="00065544" w:rsidRDefault="00065544" w:rsidP="00065544">
      <w:pPr>
        <w:ind w:left="360"/>
        <w:rPr>
          <w:lang w:val="en-US"/>
        </w:rPr>
      </w:pPr>
      <w:r>
        <w:rPr>
          <w:lang w:val="en-US"/>
        </w:rPr>
        <w:t>2. Transient period is located on one side of a slot boundary:</w:t>
      </w:r>
    </w:p>
    <w:p w14:paraId="21445500" w14:textId="6CFEB41E" w:rsidR="00065544" w:rsidRDefault="00065544" w:rsidP="00065544">
      <w:pPr>
        <w:ind w:left="360"/>
        <w:rPr>
          <w:lang w:val="en-US"/>
        </w:rPr>
      </w:pPr>
      <w:r w:rsidRPr="00065544">
        <w:rPr>
          <w:noProof/>
        </w:rPr>
        <w:drawing>
          <wp:inline distT="0" distB="0" distL="0" distR="0" wp14:anchorId="5887908F" wp14:editId="63C1B383">
            <wp:extent cx="3788236" cy="1101197"/>
            <wp:effectExtent l="0" t="0" r="3175" b="3810"/>
            <wp:docPr id="9" name="Picture 8">
              <a:extLst xmlns:a="http://schemas.openxmlformats.org/drawingml/2006/main">
                <a:ext uri="{FF2B5EF4-FFF2-40B4-BE49-F238E27FC236}">
                  <a16:creationId xmlns:a16="http://schemas.microsoft.com/office/drawing/2014/main" id="{31E239EA-AB80-4016-AA6C-730257622E7C}"/>
                </a:ext>
              </a:extLst>
            </wp:docPr>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1E239EA-AB80-4016-AA6C-730257622E7C}"/>
                        </a:ext>
                      </a:extLst>
                    </pic:cNvPr>
                    <pic:cNvPicPr/>
                  </pic:nvPicPr>
                  <pic:blipFill>
                    <a:blip r:embed="rId9" cstate="print"/>
                    <a:srcRect/>
                    <a:stretch>
                      <a:fillRect/>
                    </a:stretch>
                  </pic:blipFill>
                  <pic:spPr bwMode="auto">
                    <a:xfrm>
                      <a:off x="0" y="0"/>
                      <a:ext cx="3788236" cy="1101197"/>
                    </a:xfrm>
                    <a:prstGeom prst="rect">
                      <a:avLst/>
                    </a:prstGeom>
                    <a:noFill/>
                    <a:ln w="9525">
                      <a:noFill/>
                      <a:miter lim="800000"/>
                      <a:headEnd/>
                      <a:tailEnd/>
                    </a:ln>
                  </pic:spPr>
                </pic:pic>
              </a:graphicData>
            </a:graphic>
          </wp:inline>
        </w:drawing>
      </w:r>
    </w:p>
    <w:p w14:paraId="0250E49A" w14:textId="35A69F40" w:rsidR="00065544" w:rsidRDefault="00065544" w:rsidP="00065544">
      <w:pPr>
        <w:ind w:left="360"/>
        <w:rPr>
          <w:lang w:val="en-US"/>
        </w:rPr>
      </w:pPr>
      <w:r>
        <w:rPr>
          <w:lang w:val="en-US"/>
        </w:rPr>
        <w:t>3. Blanking is allowed for 60 kHz SCS when there is a transient period on both sides of a symbol</w:t>
      </w:r>
    </w:p>
    <w:p w14:paraId="54381C90" w14:textId="38C8B9DD" w:rsidR="00065544" w:rsidRDefault="00065544" w:rsidP="00065544">
      <w:pPr>
        <w:ind w:left="360"/>
        <w:rPr>
          <w:lang w:val="en-US"/>
        </w:rPr>
      </w:pPr>
      <w:r w:rsidRPr="00065544">
        <w:rPr>
          <w:noProof/>
        </w:rPr>
        <w:drawing>
          <wp:inline distT="0" distB="0" distL="0" distR="0" wp14:anchorId="02566EE0" wp14:editId="48E840B2">
            <wp:extent cx="4325645" cy="1312971"/>
            <wp:effectExtent l="0" t="0" r="0" b="0"/>
            <wp:docPr id="11" name="Picture 10">
              <a:extLst xmlns:a="http://schemas.openxmlformats.org/drawingml/2006/main">
                <a:ext uri="{FF2B5EF4-FFF2-40B4-BE49-F238E27FC236}">
                  <a16:creationId xmlns:a16="http://schemas.microsoft.com/office/drawing/2014/main" id="{9557AD14-542A-4762-AEC0-CB02109ADC59}"/>
                </a:ext>
              </a:extLst>
            </wp:docPr>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9557AD14-542A-4762-AEC0-CB02109ADC59}"/>
                        </a:ext>
                      </a:extLst>
                    </pic:cNvPr>
                    <pic:cNvPicPr/>
                  </pic:nvPicPr>
                  <pic:blipFill>
                    <a:blip r:embed="rId10" cstate="print"/>
                    <a:srcRect/>
                    <a:stretch>
                      <a:fillRect/>
                    </a:stretch>
                  </pic:blipFill>
                  <pic:spPr bwMode="auto">
                    <a:xfrm>
                      <a:off x="0" y="0"/>
                      <a:ext cx="4325645" cy="1312971"/>
                    </a:xfrm>
                    <a:prstGeom prst="rect">
                      <a:avLst/>
                    </a:prstGeom>
                    <a:noFill/>
                    <a:ln w="9525">
                      <a:noFill/>
                      <a:miter lim="800000"/>
                      <a:headEnd/>
                      <a:tailEnd/>
                    </a:ln>
                  </pic:spPr>
                </pic:pic>
              </a:graphicData>
            </a:graphic>
          </wp:inline>
        </w:drawing>
      </w:r>
    </w:p>
    <w:p w14:paraId="078F3392" w14:textId="2026B596" w:rsidR="00065544" w:rsidRDefault="00065544" w:rsidP="00065544">
      <w:pPr>
        <w:ind w:left="360"/>
        <w:rPr>
          <w:lang w:val="en-US"/>
        </w:rPr>
      </w:pPr>
    </w:p>
    <w:p w14:paraId="0810FDA8" w14:textId="2E180689" w:rsidR="00065544" w:rsidRDefault="00065544" w:rsidP="0029020C">
      <w:pPr>
        <w:rPr>
          <w:lang w:val="en-US"/>
        </w:rPr>
      </w:pPr>
      <w:r>
        <w:rPr>
          <w:lang w:val="en-US"/>
        </w:rPr>
        <w:lastRenderedPageBreak/>
        <w:t>When a UE declares a capability of a shorter transient period than allowed then:</w:t>
      </w:r>
    </w:p>
    <w:p w14:paraId="6ABF7621" w14:textId="1897EBE4" w:rsidR="00065544" w:rsidRPr="0017130C" w:rsidRDefault="0017130C" w:rsidP="0017130C">
      <w:pPr>
        <w:rPr>
          <w:lang w:val="en-US"/>
        </w:rPr>
      </w:pPr>
      <w:r w:rsidRPr="0017130C">
        <w:rPr>
          <w:b/>
          <w:bCs/>
          <w:lang w:val="en-US"/>
        </w:rPr>
        <w:t>Proposal 1:</w:t>
      </w:r>
      <w:r>
        <w:rPr>
          <w:lang w:val="en-US"/>
        </w:rPr>
        <w:t xml:space="preserve"> </w:t>
      </w:r>
      <w:r w:rsidR="00065544" w:rsidRPr="0017130C">
        <w:rPr>
          <w:lang w:val="en-US"/>
        </w:rPr>
        <w:t>Currently if a transient period is symmetrically shared, it will still be symmetrically shared</w:t>
      </w:r>
    </w:p>
    <w:p w14:paraId="1BDB5A6F" w14:textId="2DECEF28" w:rsidR="00065544" w:rsidRPr="0017130C" w:rsidRDefault="0017130C" w:rsidP="0017130C">
      <w:pPr>
        <w:rPr>
          <w:lang w:val="en-US"/>
        </w:rPr>
      </w:pPr>
      <w:r w:rsidRPr="0017130C">
        <w:rPr>
          <w:b/>
          <w:bCs/>
          <w:lang w:val="en-US"/>
        </w:rPr>
        <w:t>Proposal 2:</w:t>
      </w:r>
      <w:r>
        <w:rPr>
          <w:lang w:val="en-US"/>
        </w:rPr>
        <w:t xml:space="preserve"> </w:t>
      </w:r>
      <w:r w:rsidR="00065544" w:rsidRPr="0017130C">
        <w:rPr>
          <w:lang w:val="en-US"/>
        </w:rPr>
        <w:t>Currently if a transient period is on one side of a slot boundary, it will still on that side of the slot boundary</w:t>
      </w:r>
    </w:p>
    <w:p w14:paraId="7641110B" w14:textId="1B758540" w:rsidR="00065544" w:rsidRPr="0017130C" w:rsidRDefault="0017130C" w:rsidP="0017130C">
      <w:pPr>
        <w:rPr>
          <w:lang w:val="en-US"/>
        </w:rPr>
      </w:pPr>
      <w:r w:rsidRPr="0017130C">
        <w:rPr>
          <w:b/>
          <w:bCs/>
          <w:lang w:val="en-US"/>
        </w:rPr>
        <w:t>Proposal 3:</w:t>
      </w:r>
      <w:r>
        <w:rPr>
          <w:lang w:val="en-US"/>
        </w:rPr>
        <w:t xml:space="preserve"> </w:t>
      </w:r>
      <w:r w:rsidR="00065544" w:rsidRPr="0017130C">
        <w:rPr>
          <w:lang w:val="en-US"/>
        </w:rPr>
        <w:t>Currently if blanking is allowed</w:t>
      </w:r>
      <w:r w:rsidR="0029020C">
        <w:rPr>
          <w:lang w:val="en-US"/>
        </w:rPr>
        <w:t xml:space="preserve"> </w:t>
      </w:r>
      <w:r w:rsidR="00065544" w:rsidRPr="0017130C">
        <w:rPr>
          <w:lang w:val="en-US"/>
        </w:rPr>
        <w:t xml:space="preserve">then transient period will be symmetrically </w:t>
      </w:r>
      <w:r w:rsidRPr="0017130C">
        <w:rPr>
          <w:lang w:val="en-US"/>
        </w:rPr>
        <w:t>shared,</w:t>
      </w:r>
      <w:r w:rsidR="00065544" w:rsidRPr="0017130C">
        <w:rPr>
          <w:lang w:val="en-US"/>
        </w:rPr>
        <w:t xml:space="preserve"> and blanking </w:t>
      </w:r>
      <w:r>
        <w:rPr>
          <w:lang w:val="en-US"/>
        </w:rPr>
        <w:t>will</w:t>
      </w:r>
      <w:r w:rsidR="00065544" w:rsidRPr="0017130C">
        <w:rPr>
          <w:lang w:val="en-US"/>
        </w:rPr>
        <w:t xml:space="preserve"> </w:t>
      </w:r>
      <w:r w:rsidR="0029020C">
        <w:rPr>
          <w:lang w:val="en-US"/>
        </w:rPr>
        <w:t xml:space="preserve">be </w:t>
      </w:r>
      <w:r w:rsidR="00065544" w:rsidRPr="0017130C">
        <w:rPr>
          <w:lang w:val="en-US"/>
        </w:rPr>
        <w:t xml:space="preserve">removed. </w:t>
      </w:r>
    </w:p>
    <w:p w14:paraId="501182D5" w14:textId="5294F443" w:rsidR="00065544" w:rsidRPr="00065544" w:rsidRDefault="0017130C" w:rsidP="00406059">
      <w:pPr>
        <w:rPr>
          <w:lang w:val="en-US"/>
        </w:rPr>
      </w:pPr>
      <w:r w:rsidRPr="0017130C">
        <w:rPr>
          <w:b/>
          <w:bCs/>
          <w:lang w:val="en-US"/>
        </w:rPr>
        <w:t>Proposal 4:</w:t>
      </w:r>
      <w:r>
        <w:rPr>
          <w:lang w:val="en-US"/>
        </w:rPr>
        <w:t xml:space="preserve"> </w:t>
      </w:r>
      <w:r w:rsidR="00406059" w:rsidRPr="00406059">
        <w:rPr>
          <w:lang w:val="en-US"/>
        </w:rPr>
        <w:t>The value of the transient period in the above Proposals 1-3 will now be the transient period value that the UE supports according to its UE capability or minimum UE requirements</w:t>
      </w:r>
    </w:p>
    <w:p w14:paraId="0E0F4862" w14:textId="1A948B04" w:rsidR="002619C7" w:rsidRDefault="00BF6880" w:rsidP="00F22934">
      <w:pPr>
        <w:pStyle w:val="Heading1"/>
      </w:pPr>
      <w:r>
        <w:t>C</w:t>
      </w:r>
      <w:r w:rsidR="00C762BF">
        <w:t>onclusion</w:t>
      </w:r>
    </w:p>
    <w:p w14:paraId="4FA5C6FC" w14:textId="36FE0C67" w:rsidR="00EE2CF3" w:rsidRDefault="0029020C" w:rsidP="00EE2CF3">
      <w:r>
        <w:t xml:space="preserve">This paper addresses the concern of the location of the transient period when a UE indicates its capability for transient period in Proposals 1-4. </w:t>
      </w:r>
    </w:p>
    <w:p w14:paraId="58A339D8" w14:textId="77777777" w:rsidR="0029020C" w:rsidRPr="0017130C" w:rsidRDefault="0029020C" w:rsidP="0029020C">
      <w:pPr>
        <w:rPr>
          <w:lang w:val="en-US"/>
        </w:rPr>
      </w:pPr>
      <w:r w:rsidRPr="0017130C">
        <w:rPr>
          <w:b/>
          <w:bCs/>
          <w:lang w:val="en-US"/>
        </w:rPr>
        <w:t>Proposal 1:</w:t>
      </w:r>
      <w:r>
        <w:rPr>
          <w:lang w:val="en-US"/>
        </w:rPr>
        <w:t xml:space="preserve"> </w:t>
      </w:r>
      <w:r w:rsidRPr="0017130C">
        <w:rPr>
          <w:lang w:val="en-US"/>
        </w:rPr>
        <w:t>Currently if a transient period is symmetrically shared, it will still be symmetrically shared</w:t>
      </w:r>
    </w:p>
    <w:p w14:paraId="08EEFAE0" w14:textId="77777777" w:rsidR="0029020C" w:rsidRPr="0017130C" w:rsidRDefault="0029020C" w:rsidP="0029020C">
      <w:pPr>
        <w:rPr>
          <w:lang w:val="en-US"/>
        </w:rPr>
      </w:pPr>
      <w:r w:rsidRPr="0017130C">
        <w:rPr>
          <w:b/>
          <w:bCs/>
          <w:lang w:val="en-US"/>
        </w:rPr>
        <w:t>Proposal 2:</w:t>
      </w:r>
      <w:r>
        <w:rPr>
          <w:lang w:val="en-US"/>
        </w:rPr>
        <w:t xml:space="preserve"> </w:t>
      </w:r>
      <w:r w:rsidRPr="0017130C">
        <w:rPr>
          <w:lang w:val="en-US"/>
        </w:rPr>
        <w:t>Currently if a transient period is on one side of a slot boundary, it will still on that side of the slot boundary</w:t>
      </w:r>
    </w:p>
    <w:p w14:paraId="531B09F6" w14:textId="77777777" w:rsidR="0029020C" w:rsidRPr="0017130C" w:rsidRDefault="0029020C" w:rsidP="0029020C">
      <w:pPr>
        <w:rPr>
          <w:lang w:val="en-US"/>
        </w:rPr>
      </w:pPr>
      <w:r w:rsidRPr="0017130C">
        <w:rPr>
          <w:b/>
          <w:bCs/>
          <w:lang w:val="en-US"/>
        </w:rPr>
        <w:t>Proposal 3:</w:t>
      </w:r>
      <w:r>
        <w:rPr>
          <w:lang w:val="en-US"/>
        </w:rPr>
        <w:t xml:space="preserve"> </w:t>
      </w:r>
      <w:r w:rsidRPr="0017130C">
        <w:rPr>
          <w:lang w:val="en-US"/>
        </w:rPr>
        <w:t>Currently if blanking is allowed</w:t>
      </w:r>
      <w:r>
        <w:rPr>
          <w:lang w:val="en-US"/>
        </w:rPr>
        <w:t xml:space="preserve"> </w:t>
      </w:r>
      <w:r w:rsidRPr="0017130C">
        <w:rPr>
          <w:lang w:val="en-US"/>
        </w:rPr>
        <w:t xml:space="preserve">then transient period will be symmetrically shared, and blanking </w:t>
      </w:r>
      <w:r>
        <w:rPr>
          <w:lang w:val="en-US"/>
        </w:rPr>
        <w:t>will</w:t>
      </w:r>
      <w:r w:rsidRPr="0017130C">
        <w:rPr>
          <w:lang w:val="en-US"/>
        </w:rPr>
        <w:t xml:space="preserve"> </w:t>
      </w:r>
      <w:r>
        <w:rPr>
          <w:lang w:val="en-US"/>
        </w:rPr>
        <w:t xml:space="preserve">be </w:t>
      </w:r>
      <w:r w:rsidRPr="0017130C">
        <w:rPr>
          <w:lang w:val="en-US"/>
        </w:rPr>
        <w:t xml:space="preserve">removed. </w:t>
      </w:r>
    </w:p>
    <w:p w14:paraId="4B2EACAD" w14:textId="2155AE22" w:rsidR="0029020C" w:rsidRPr="00EE2CF3" w:rsidRDefault="0029020C" w:rsidP="00EE2CF3">
      <w:r w:rsidRPr="0017130C">
        <w:rPr>
          <w:b/>
          <w:bCs/>
          <w:lang w:val="en-US"/>
        </w:rPr>
        <w:t>Proposal 4:</w:t>
      </w:r>
      <w:r>
        <w:rPr>
          <w:lang w:val="en-US"/>
        </w:rPr>
        <w:t xml:space="preserve"> </w:t>
      </w:r>
      <w:r w:rsidR="00B230A3" w:rsidRPr="00406059">
        <w:rPr>
          <w:lang w:val="en-US"/>
        </w:rPr>
        <w:t>The value of the transient period in the above Proposals 1-3 will now be the transient period value that the UE supports according to its UE capability or minimum UE requirements</w:t>
      </w:r>
    </w:p>
    <w:p w14:paraId="0ECB10B7" w14:textId="25CF83AC" w:rsidR="00D62CD8" w:rsidRDefault="00D62CD8" w:rsidP="00D62CD8">
      <w:pPr>
        <w:pStyle w:val="Heading1"/>
        <w:jc w:val="both"/>
      </w:pPr>
      <w:r>
        <w:t>References</w:t>
      </w:r>
    </w:p>
    <w:p w14:paraId="24FB13F6" w14:textId="5CC82455" w:rsidR="00EE2CF3" w:rsidRDefault="0029020C" w:rsidP="00EE2CF3">
      <w:r>
        <w:t xml:space="preserve">[1] </w:t>
      </w:r>
      <w:r w:rsidRPr="0029020C">
        <w:t>R4-1910312</w:t>
      </w:r>
      <w:r>
        <w:t xml:space="preserve">, </w:t>
      </w:r>
      <w:r w:rsidRPr="0029020C">
        <w:t>WF on Transient period capability</w:t>
      </w:r>
      <w:r>
        <w:t xml:space="preserve">, </w:t>
      </w:r>
      <w:r w:rsidRPr="0029020C">
        <w:t>3GPP TSG-RAN WG4 Meeting #92</w:t>
      </w:r>
      <w:r>
        <w:t xml:space="preserve">, </w:t>
      </w:r>
      <w:r w:rsidRPr="0029020C">
        <w:t>Ljubljana, Slovenia, 26-30 Aug 2019</w:t>
      </w:r>
    </w:p>
    <w:p w14:paraId="0526BC8E" w14:textId="70A52F9F" w:rsidR="0029020C" w:rsidRPr="00EE2CF3" w:rsidRDefault="0029020C" w:rsidP="00EE2CF3">
      <w:r>
        <w:t xml:space="preserve">[2] </w:t>
      </w:r>
      <w:r w:rsidRPr="0029020C">
        <w:t>3GPP TS 38.101-1</w:t>
      </w:r>
    </w:p>
    <w:sectPr w:rsidR="0029020C" w:rsidRPr="00EE2CF3"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80FEA" w14:textId="77777777" w:rsidR="00133835" w:rsidRDefault="00133835">
      <w:r>
        <w:separator/>
      </w:r>
    </w:p>
  </w:endnote>
  <w:endnote w:type="continuationSeparator" w:id="0">
    <w:p w14:paraId="58FA4D15" w14:textId="77777777" w:rsidR="00133835" w:rsidRDefault="00133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1B482" w14:textId="77777777" w:rsidR="00133835" w:rsidRDefault="00133835">
      <w:r>
        <w:separator/>
      </w:r>
    </w:p>
  </w:footnote>
  <w:footnote w:type="continuationSeparator" w:id="0">
    <w:p w14:paraId="6DB7E6F3" w14:textId="77777777" w:rsidR="00133835" w:rsidRDefault="001338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C027630"/>
    <w:multiLevelType w:val="hybridMultilevel"/>
    <w:tmpl w:val="6570D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6031B3"/>
    <w:multiLevelType w:val="hybridMultilevel"/>
    <w:tmpl w:val="F92487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20"/>
  </w:num>
  <w:num w:numId="4">
    <w:abstractNumId w:val="22"/>
  </w:num>
  <w:num w:numId="5">
    <w:abstractNumId w:val="12"/>
  </w:num>
  <w:num w:numId="6">
    <w:abstractNumId w:val="6"/>
  </w:num>
  <w:num w:numId="7">
    <w:abstractNumId w:val="1"/>
  </w:num>
  <w:num w:numId="8">
    <w:abstractNumId w:val="17"/>
  </w:num>
  <w:num w:numId="9">
    <w:abstractNumId w:val="7"/>
  </w:num>
  <w:num w:numId="10">
    <w:abstractNumId w:val="10"/>
  </w:num>
  <w:num w:numId="11">
    <w:abstractNumId w:val="23"/>
  </w:num>
  <w:num w:numId="12">
    <w:abstractNumId w:val="21"/>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4"/>
  </w:num>
  <w:num w:numId="21">
    <w:abstractNumId w:val="18"/>
  </w:num>
  <w:num w:numId="22">
    <w:abstractNumId w:val="11"/>
  </w:num>
  <w:num w:numId="23">
    <w:abstractNumId w:val="16"/>
  </w:num>
  <w:num w:numId="24">
    <w:abstractNumId w:val="13"/>
  </w:num>
  <w:num w:numId="25">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16E3"/>
    <w:rsid w:val="00062B7F"/>
    <w:rsid w:val="00062E5A"/>
    <w:rsid w:val="00062F52"/>
    <w:rsid w:val="00063999"/>
    <w:rsid w:val="0006427B"/>
    <w:rsid w:val="000642D1"/>
    <w:rsid w:val="0006440F"/>
    <w:rsid w:val="00064A80"/>
    <w:rsid w:val="00065544"/>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39DE"/>
    <w:rsid w:val="00123B8B"/>
    <w:rsid w:val="00123F90"/>
    <w:rsid w:val="00124252"/>
    <w:rsid w:val="00124802"/>
    <w:rsid w:val="00124944"/>
    <w:rsid w:val="00125C52"/>
    <w:rsid w:val="00125F11"/>
    <w:rsid w:val="00126189"/>
    <w:rsid w:val="001266F1"/>
    <w:rsid w:val="00126DA5"/>
    <w:rsid w:val="001271F9"/>
    <w:rsid w:val="001274D2"/>
    <w:rsid w:val="00127C10"/>
    <w:rsid w:val="00127E29"/>
    <w:rsid w:val="00127E48"/>
    <w:rsid w:val="00130ECD"/>
    <w:rsid w:val="00131FD4"/>
    <w:rsid w:val="00133835"/>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30C"/>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21C"/>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4D8"/>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6C2"/>
    <w:rsid w:val="00280813"/>
    <w:rsid w:val="002832C2"/>
    <w:rsid w:val="002834C9"/>
    <w:rsid w:val="00283AAC"/>
    <w:rsid w:val="0028415F"/>
    <w:rsid w:val="0028417E"/>
    <w:rsid w:val="00284391"/>
    <w:rsid w:val="00285070"/>
    <w:rsid w:val="002854F2"/>
    <w:rsid w:val="002860CC"/>
    <w:rsid w:val="002865FA"/>
    <w:rsid w:val="002869C0"/>
    <w:rsid w:val="002870D2"/>
    <w:rsid w:val="0029020C"/>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9BB"/>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6059"/>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0F3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657E"/>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0AD1"/>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2AA"/>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5A00"/>
    <w:rsid w:val="00756780"/>
    <w:rsid w:val="00756CE2"/>
    <w:rsid w:val="00757096"/>
    <w:rsid w:val="0075716C"/>
    <w:rsid w:val="00757853"/>
    <w:rsid w:val="00757F25"/>
    <w:rsid w:val="007601B6"/>
    <w:rsid w:val="00760622"/>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545F"/>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5F28"/>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0A3"/>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E70B7"/>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177DF"/>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1037"/>
    <w:rsid w:val="00C8104E"/>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225"/>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08D"/>
    <w:rsid w:val="00E517C8"/>
    <w:rsid w:val="00E51893"/>
    <w:rsid w:val="00E53C5E"/>
    <w:rsid w:val="00E5448C"/>
    <w:rsid w:val="00E5470D"/>
    <w:rsid w:val="00E56E39"/>
    <w:rsid w:val="00E56FFF"/>
    <w:rsid w:val="00E57F7A"/>
    <w:rsid w:val="00E57FBA"/>
    <w:rsid w:val="00E602B8"/>
    <w:rsid w:val="00E60556"/>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63F5E-0E10-45B6-981C-DC33215E5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36</TotalTime>
  <Pages>2</Pages>
  <Words>353</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11</cp:revision>
  <cp:lastPrinted>2016-03-25T21:53:00Z</cp:lastPrinted>
  <dcterms:created xsi:type="dcterms:W3CDTF">2019-09-30T23:01:00Z</dcterms:created>
  <dcterms:modified xsi:type="dcterms:W3CDTF">2019-10-04T19:44:00Z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